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EC" w:rsidRDefault="008330EC" w:rsidP="008330EC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bookmarkStart w:id="0" w:name="P12"/>
      <w:bookmarkEnd w:id="0"/>
      <w:r>
        <w:rPr>
          <w:rFonts w:ascii="Cambria" w:hAnsi="Cambria"/>
          <w:b/>
          <w:color w:val="000000"/>
          <w:sz w:val="27"/>
          <w:szCs w:val="27"/>
        </w:rPr>
        <w:t>ОБЩЕРОССИЙСКЙИ ПРОФСОЮЗ ОБРАЗОВАНИЯ</w:t>
      </w:r>
    </w:p>
    <w:p w:rsidR="008330EC" w:rsidRDefault="008330EC" w:rsidP="008330EC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БУРЯТСКАЯ РЕСПУБЛИКАНСКАЯ ОРГАНИЗАЦИЯ</w:t>
      </w:r>
    </w:p>
    <w:p w:rsidR="008330EC" w:rsidRDefault="008330EC" w:rsidP="008330EC">
      <w:pPr>
        <w:spacing w:line="240" w:lineRule="auto"/>
        <w:rPr>
          <w:rFonts w:ascii="Cambria" w:hAnsi="Cambria"/>
          <w:b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jc w:val="center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74545" cy="2360930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0EC" w:rsidRDefault="008330EC" w:rsidP="008330EC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8330EC" w:rsidRPr="008330EC" w:rsidRDefault="008330EC" w:rsidP="008330EC">
      <w:pPr>
        <w:spacing w:line="240" w:lineRule="auto"/>
        <w:jc w:val="center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b/>
          <w:color w:val="000000"/>
          <w:sz w:val="40"/>
          <w:szCs w:val="40"/>
        </w:rPr>
        <w:t xml:space="preserve">ИНФОРМАЦИОННЫЙ БЮЛЛЕТЕНЬ </w:t>
      </w:r>
      <w:r w:rsidRPr="008330EC">
        <w:rPr>
          <w:rFonts w:ascii="Cambria" w:hAnsi="Cambria"/>
          <w:b/>
          <w:color w:val="000000"/>
          <w:sz w:val="40"/>
          <w:szCs w:val="40"/>
        </w:rPr>
        <w:t>10</w:t>
      </w:r>
    </w:p>
    <w:p w:rsidR="008330EC" w:rsidRDefault="008330EC" w:rsidP="008330EC">
      <w:pPr>
        <w:spacing w:line="240" w:lineRule="auto"/>
        <w:jc w:val="center"/>
        <w:rPr>
          <w:rFonts w:ascii="Cambria" w:hAnsi="Cambria"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</w:pPr>
    </w:p>
    <w:p w:rsidR="008330EC" w:rsidRPr="008330EC" w:rsidRDefault="008330EC" w:rsidP="008330EC">
      <w:pPr>
        <w:spacing w:line="240" w:lineRule="auto"/>
        <w:jc w:val="center"/>
        <w:rPr>
          <w:rFonts w:ascii="Cambria" w:hAnsi="Cambria"/>
          <w:b/>
          <w:iCs/>
          <w:color w:val="000000"/>
          <w:sz w:val="27"/>
          <w:szCs w:val="27"/>
        </w:rPr>
      </w:pPr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  <w:t xml:space="preserve">Бонусная программа </w:t>
      </w:r>
      <w:proofErr w:type="spellStart"/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en-US"/>
        </w:rPr>
        <w:t>Profcards</w:t>
      </w:r>
      <w:proofErr w:type="spellEnd"/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8330EC" w:rsidRDefault="008330EC" w:rsidP="008330EC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Улан-Удэ</w:t>
      </w:r>
    </w:p>
    <w:p w:rsidR="008330EC" w:rsidRDefault="008330EC" w:rsidP="008330EC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октябрь 2021 г.</w:t>
      </w:r>
    </w:p>
    <w:p w:rsidR="00B57903" w:rsidRPr="008330EC" w:rsidRDefault="00B57903" w:rsidP="00B57903">
      <w:pPr>
        <w:spacing w:line="240" w:lineRule="auto"/>
        <w:jc w:val="center"/>
        <w:rPr>
          <w:rFonts w:ascii="Cambria" w:hAnsi="Cambria"/>
          <w:b/>
          <w:iCs/>
          <w:color w:val="000000"/>
          <w:sz w:val="27"/>
          <w:szCs w:val="27"/>
        </w:rPr>
      </w:pPr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  <w:lastRenderedPageBreak/>
        <w:t xml:space="preserve">Бонусная программа </w:t>
      </w:r>
      <w:proofErr w:type="spellStart"/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en-US"/>
        </w:rPr>
        <w:t>Profcards</w:t>
      </w:r>
      <w:proofErr w:type="spellEnd"/>
    </w:p>
    <w:p w:rsidR="00B57903" w:rsidRPr="00DE78B7" w:rsidRDefault="00B57903" w:rsidP="00B57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505C" w:rsidRDefault="00FD6E7D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бонусная программа</w:t>
      </w:r>
      <w:r w:rsidR="008330EC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 </w:t>
      </w:r>
      <w:proofErr w:type="spellStart"/>
      <w:r w:rsidR="008330EC"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="008330EC" w:rsidRPr="008330EC">
        <w:rPr>
          <w:rFonts w:ascii="Times New Roman" w:hAnsi="Times New Roman" w:cs="Times New Roman"/>
          <w:sz w:val="28"/>
          <w:szCs w:val="28"/>
        </w:rPr>
        <w:t xml:space="preserve"> </w:t>
      </w:r>
      <w:r w:rsidR="008330EC">
        <w:rPr>
          <w:rFonts w:ascii="Times New Roman" w:hAnsi="Times New Roman" w:cs="Times New Roman"/>
          <w:sz w:val="28"/>
          <w:szCs w:val="28"/>
        </w:rPr>
        <w:t>дает возможность получать скидки и бонусы за покупки</w:t>
      </w:r>
      <w:r>
        <w:rPr>
          <w:rFonts w:ascii="Times New Roman" w:hAnsi="Times New Roman" w:cs="Times New Roman"/>
          <w:sz w:val="28"/>
          <w:szCs w:val="28"/>
        </w:rPr>
        <w:t xml:space="preserve"> в магазинах-партнерах по всей России. Доступ в систему осуществляется по номеру электронного профсоюзного билета.</w:t>
      </w:r>
    </w:p>
    <w:p w:rsidR="008354D2" w:rsidRDefault="004A24A9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Какие виды скидок и бонусов доступны</w:t>
      </w:r>
    </w:p>
    <w:p w:rsidR="004A24A9" w:rsidRDefault="004A24A9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позволяет воспользоваться следующими предлож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ениями: бонусы с покупок,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(общие и индивидуальные), скидки при предъявлении профсоюзного билета. </w:t>
      </w:r>
    </w:p>
    <w:p w:rsidR="004A24A9" w:rsidRDefault="004A24A9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Бонусы – средства, которые вернутся на счет в личном кабинете после совершения покупки на сайте магазина-партнера. </w:t>
      </w:r>
      <w:r w:rsidR="002156BD">
        <w:rPr>
          <w:rFonts w:ascii="Times New Roman" w:hAnsi="Times New Roman" w:cs="Times New Roman"/>
          <w:sz w:val="28"/>
          <w:szCs w:val="28"/>
        </w:rPr>
        <w:t>Могут быть в виде фиксированной суммы в рублях или в виде процента от стоимости покупки</w:t>
      </w:r>
      <w:r w:rsidR="004B0F29">
        <w:rPr>
          <w:rFonts w:ascii="Times New Roman" w:hAnsi="Times New Roman" w:cs="Times New Roman"/>
          <w:sz w:val="28"/>
          <w:szCs w:val="28"/>
        </w:rPr>
        <w:t xml:space="preserve"> (на сегодняшний день – от 2,6% до 44,85%)</w:t>
      </w:r>
      <w:r w:rsidR="002156BD">
        <w:rPr>
          <w:rFonts w:ascii="Times New Roman" w:hAnsi="Times New Roman" w:cs="Times New Roman"/>
          <w:sz w:val="28"/>
          <w:szCs w:val="28"/>
        </w:rPr>
        <w:t>;</w:t>
      </w:r>
    </w:p>
    <w:p w:rsidR="002156BD" w:rsidRDefault="002156BD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кодовое слово или набор символов, которые вводятся в специальное поле при покупке или показываются на кассе (скидки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бонусы не суммируются). Персональный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выдается индивидуально;</w:t>
      </w:r>
    </w:p>
    <w:p w:rsidR="002156BD" w:rsidRPr="004A24A9" w:rsidRDefault="002156BD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Скидка по профсоюзному билету – предоставляется на кассе при предъявлении профсоюзного билета (на сайте специальным значком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-магазины).</w:t>
      </w:r>
    </w:p>
    <w:p w:rsidR="00FD6E7D" w:rsidRDefault="00FD6E7D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54D2">
        <w:rPr>
          <w:rFonts w:ascii="Times New Roman" w:hAnsi="Times New Roman" w:cs="Times New Roman"/>
          <w:b/>
          <w:i/>
          <w:sz w:val="28"/>
          <w:szCs w:val="28"/>
        </w:rPr>
        <w:t>Как пользоватьс</w:t>
      </w:r>
      <w:r w:rsidR="004A24A9">
        <w:rPr>
          <w:rFonts w:ascii="Times New Roman" w:hAnsi="Times New Roman" w:cs="Times New Roman"/>
          <w:b/>
          <w:i/>
          <w:sz w:val="28"/>
          <w:szCs w:val="28"/>
        </w:rPr>
        <w:t>я сервисом</w:t>
      </w:r>
    </w:p>
    <w:p w:rsidR="008354D2" w:rsidRDefault="008354D2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Pr="008354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каталог магазинов-партнеров, разбитый по категориям: цифровая и бытовая техника, одежда и обувь, книги, красота и здоровье, товары для детей и т.д. </w:t>
      </w:r>
      <w:r w:rsidR="007E3052">
        <w:rPr>
          <w:rFonts w:ascii="Times New Roman" w:hAnsi="Times New Roman" w:cs="Times New Roman"/>
          <w:sz w:val="28"/>
          <w:szCs w:val="28"/>
        </w:rPr>
        <w:t xml:space="preserve">Наиболее популярны: </w:t>
      </w:r>
      <w:proofErr w:type="gramStart"/>
      <w:r w:rsidR="007E3052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gramEnd"/>
      <w:r w:rsidR="007E30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E3052">
        <w:rPr>
          <w:rFonts w:ascii="Times New Roman" w:hAnsi="Times New Roman" w:cs="Times New Roman"/>
          <w:sz w:val="28"/>
          <w:szCs w:val="28"/>
        </w:rPr>
        <w:t>маркетплэйсы</w:t>
      </w:r>
      <w:proofErr w:type="spellEnd"/>
      <w:r w:rsidR="007E3052">
        <w:rPr>
          <w:rFonts w:ascii="Times New Roman" w:hAnsi="Times New Roman" w:cs="Times New Roman"/>
          <w:sz w:val="28"/>
          <w:szCs w:val="28"/>
        </w:rPr>
        <w:t>, финансовые услуги, скидки на путевки, авиабилеты и ж/д билеты, курсы повышения квалификации и онлайн-образование, медицинские услуги. В настоящий момент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известные федеральные сети, как Лабиринт, М-Видео,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8354D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Этуаль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Читай-город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>, Мегафон.</w:t>
      </w:r>
    </w:p>
    <w:p w:rsidR="00B57903" w:rsidRPr="00B57903" w:rsidRDefault="00B57903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Pr="008354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отображаются самые выгодные предложения, действующие на текущий момент. Например, в октябре 2021 года это скидки до 20% на путевки по России и СНГ от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putevka</w:t>
      </w:r>
      <w:proofErr w:type="spellEnd"/>
      <w:r w:rsidRPr="00B579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, бонусы от сервиса по рефинансированию ипотеки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refin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, доступ к закрытой распродаже бытовой техники от </w:t>
      </w:r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r>
        <w:rPr>
          <w:rFonts w:ascii="Times New Roman" w:hAnsi="Times New Roman" w:cs="Times New Roman"/>
          <w:sz w:val="28"/>
          <w:szCs w:val="28"/>
        </w:rPr>
        <w:t>, скидки на популярные книги от интернет-магазинов Лабиринт, Буквоед, Читай-город, скидки до 50% по профсоюзному билету от «585 Золотой».</w:t>
      </w:r>
    </w:p>
    <w:p w:rsidR="008354D2" w:rsidRDefault="00B57903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воспользоваться сервисом, н</w:t>
      </w:r>
      <w:r w:rsidR="008354D2">
        <w:rPr>
          <w:rFonts w:ascii="Times New Roman" w:hAnsi="Times New Roman" w:cs="Times New Roman"/>
          <w:sz w:val="28"/>
          <w:szCs w:val="28"/>
        </w:rPr>
        <w:t xml:space="preserve">еобходимо выбрать интересующий магазин в каталоге, ознакомиться с условиями покупки и перейти на сайт, нажав соответствующую кнопку. Далее нужно оформить покупку на сайте магазина партнера. После оплаты </w:t>
      </w:r>
      <w:r w:rsidR="004A24A9">
        <w:rPr>
          <w:rFonts w:ascii="Times New Roman" w:hAnsi="Times New Roman" w:cs="Times New Roman"/>
          <w:sz w:val="28"/>
          <w:szCs w:val="28"/>
        </w:rPr>
        <w:t>придет подтверждение о начислении бонусов. Все начисления легко отследить в личном кабинете.</w:t>
      </w:r>
    </w:p>
    <w:p w:rsidR="002156BD" w:rsidRPr="002156BD" w:rsidRDefault="002156BD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6BD">
        <w:rPr>
          <w:rFonts w:ascii="Times New Roman" w:hAnsi="Times New Roman" w:cs="Times New Roman"/>
          <w:b/>
          <w:i/>
          <w:sz w:val="28"/>
          <w:szCs w:val="28"/>
        </w:rPr>
        <w:t>Правила начисления бонусов</w:t>
      </w:r>
    </w:p>
    <w:p w:rsidR="002156BD" w:rsidRDefault="002156BD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Всегда переходите на сайт магазина-партнера</w:t>
      </w:r>
      <w:r w:rsidR="004B0F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нажав на специальную кнопку-ссылку (на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Pr="008354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 В противном случае бонусы не начисляются;</w:t>
      </w:r>
    </w:p>
    <w:p w:rsidR="002156BD" w:rsidRDefault="002156BD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используйте в своем заказе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купоны сторонних сервисов;</w:t>
      </w:r>
    </w:p>
    <w:p w:rsidR="00E94E80" w:rsidRDefault="002156BD" w:rsidP="00B57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закрывайте браузер во время оплаты покупки</w:t>
      </w:r>
      <w:r w:rsidR="00E94E80">
        <w:rPr>
          <w:rFonts w:ascii="Times New Roman" w:hAnsi="Times New Roman" w:cs="Times New Roman"/>
          <w:sz w:val="28"/>
          <w:szCs w:val="28"/>
        </w:rPr>
        <w:t xml:space="preserve">. Перейдя в выбранный интернет-магазин через сайт или приложение </w:t>
      </w:r>
      <w:proofErr w:type="spellStart"/>
      <w:r w:rsidR="00E94E80"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="00E94E80">
        <w:rPr>
          <w:rFonts w:ascii="Times New Roman" w:hAnsi="Times New Roman" w:cs="Times New Roman"/>
          <w:sz w:val="28"/>
          <w:szCs w:val="28"/>
        </w:rPr>
        <w:t>, нужно оформить заказ и оплатить покупку до закрытия браузера;</w:t>
      </w:r>
    </w:p>
    <w:p w:rsidR="00E94E80" w:rsidRDefault="00E94E80" w:rsidP="00B57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Используйте одно устройство при оформлении заказа. Бонус не будет зачислен, если заказ оформлен через компьютер, а оплачен с помощью смартфона;</w:t>
      </w:r>
    </w:p>
    <w:p w:rsidR="007E3052" w:rsidRDefault="00E94E80" w:rsidP="00B57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Отключите сторонние плагины и программы, блокирующие всплывающие окна. Любой активный плагин может перехватить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-файлы и присвоить бонусы.</w:t>
      </w:r>
    </w:p>
    <w:p w:rsidR="00E41CA9" w:rsidRPr="00E41CA9" w:rsidRDefault="00E41CA9" w:rsidP="00A21CA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CA9">
        <w:rPr>
          <w:rFonts w:ascii="Times New Roman" w:hAnsi="Times New Roman" w:cs="Times New Roman"/>
          <w:b/>
          <w:i/>
          <w:sz w:val="28"/>
          <w:szCs w:val="28"/>
        </w:rPr>
        <w:lastRenderedPageBreak/>
        <w:t>Если бонусы не появились</w:t>
      </w:r>
    </w:p>
    <w:p w:rsidR="00E41CA9" w:rsidRPr="00E41CA9" w:rsidRDefault="00E41CA9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A9">
        <w:rPr>
          <w:rFonts w:ascii="Times New Roman" w:hAnsi="Times New Roman" w:cs="Times New Roman"/>
          <w:sz w:val="28"/>
          <w:szCs w:val="28"/>
        </w:rPr>
        <w:t>1. Проверьте, соблюдены ли все правила п</w:t>
      </w:r>
      <w:r>
        <w:rPr>
          <w:rFonts w:ascii="Times New Roman" w:hAnsi="Times New Roman" w:cs="Times New Roman"/>
          <w:sz w:val="28"/>
          <w:szCs w:val="28"/>
        </w:rPr>
        <w:t xml:space="preserve">о совершению покупки через платформу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Pr="008354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1CA9" w:rsidRPr="00E41CA9" w:rsidRDefault="00E41CA9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A9">
        <w:rPr>
          <w:rFonts w:ascii="Times New Roman" w:hAnsi="Times New Roman" w:cs="Times New Roman"/>
          <w:sz w:val="28"/>
          <w:szCs w:val="28"/>
        </w:rPr>
        <w:t>2. Вывод денежных средств доступен по истечению определенн</w:t>
      </w:r>
      <w:r>
        <w:rPr>
          <w:rFonts w:ascii="Times New Roman" w:hAnsi="Times New Roman" w:cs="Times New Roman"/>
          <w:sz w:val="28"/>
          <w:szCs w:val="28"/>
        </w:rPr>
        <w:t>ого периода. В среднем это 30–</w:t>
      </w:r>
      <w:r w:rsidRPr="00E41CA9">
        <w:rPr>
          <w:rFonts w:ascii="Times New Roman" w:hAnsi="Times New Roman" w:cs="Times New Roman"/>
          <w:sz w:val="28"/>
          <w:szCs w:val="28"/>
        </w:rPr>
        <w:t>60 календарных дней. В некоторых случаях период начисления может затянуться до 120 дней, в зависимости от вида товара/услуги и объема продаж. Длительность этого периода указана в карточке каждого магазина. После завершения данного срока денежные средства из раздела личного кабинета «Начислено» станут</w:t>
      </w:r>
      <w:r>
        <w:rPr>
          <w:rFonts w:ascii="Times New Roman" w:hAnsi="Times New Roman" w:cs="Times New Roman"/>
          <w:sz w:val="28"/>
          <w:szCs w:val="28"/>
        </w:rPr>
        <w:t xml:space="preserve"> доступны в разделе «К выплате»;</w:t>
      </w:r>
    </w:p>
    <w:p w:rsidR="00E41CA9" w:rsidRPr="00E41CA9" w:rsidRDefault="00E41CA9" w:rsidP="00A21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все сделано</w:t>
      </w:r>
      <w:r w:rsidRPr="00E41CA9">
        <w:rPr>
          <w:rFonts w:ascii="Times New Roman" w:hAnsi="Times New Roman" w:cs="Times New Roman"/>
          <w:sz w:val="28"/>
          <w:szCs w:val="28"/>
        </w:rPr>
        <w:t xml:space="preserve"> правильно, а бонусы так и не появились, 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41CA9">
        <w:rPr>
          <w:rFonts w:ascii="Times New Roman" w:hAnsi="Times New Roman" w:cs="Times New Roman"/>
          <w:sz w:val="28"/>
          <w:szCs w:val="28"/>
        </w:rPr>
        <w:t>обратит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41CA9">
        <w:rPr>
          <w:rFonts w:ascii="Times New Roman" w:hAnsi="Times New Roman" w:cs="Times New Roman"/>
          <w:sz w:val="28"/>
          <w:szCs w:val="28"/>
        </w:rPr>
        <w:t xml:space="preserve"> за помощью по указанному </w:t>
      </w:r>
      <w:r>
        <w:rPr>
          <w:rFonts w:ascii="Times New Roman" w:hAnsi="Times New Roman" w:cs="Times New Roman"/>
          <w:sz w:val="28"/>
          <w:szCs w:val="28"/>
        </w:rPr>
        <w:t>на сайте телефону технической поддержки.</w:t>
      </w:r>
    </w:p>
    <w:p w:rsidR="007E3052" w:rsidRPr="007E3052" w:rsidRDefault="007E3052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052">
        <w:rPr>
          <w:rFonts w:ascii="Times New Roman" w:hAnsi="Times New Roman" w:cs="Times New Roman"/>
          <w:b/>
          <w:i/>
          <w:sz w:val="28"/>
          <w:szCs w:val="28"/>
        </w:rPr>
        <w:t>Как выводить бонусы</w:t>
      </w:r>
    </w:p>
    <w:p w:rsidR="002156BD" w:rsidRDefault="007E3052" w:rsidP="00A21CAE">
      <w:pPr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накопленные бонусы отображаются в личном кабинете, и их можно обменивать на деньги. Вывод осуществляется на электронный кошелек, банковский счет/карту или на баланс номера телефона. В специальное поле вносится сумма для вывода и реквизиты электронного кошелька/банковской карты/мобильного телефона (в зависимости от выбранного способа). Бонусы поступают в сроки, указанные в карточке магазина-партнера.</w:t>
      </w:r>
    </w:p>
    <w:p w:rsidR="00E41CA9" w:rsidRPr="00E94E80" w:rsidRDefault="00E41CA9" w:rsidP="00B57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6BD" w:rsidRPr="002156BD" w:rsidRDefault="002156BD" w:rsidP="007E30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E7D" w:rsidRPr="008330EC" w:rsidRDefault="00FD6E7D" w:rsidP="0083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6E7D" w:rsidRPr="0083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7"/>
    <w:rsid w:val="000D34D7"/>
    <w:rsid w:val="002156BD"/>
    <w:rsid w:val="004A24A9"/>
    <w:rsid w:val="004B0F29"/>
    <w:rsid w:val="0056505C"/>
    <w:rsid w:val="007E3052"/>
    <w:rsid w:val="008330EC"/>
    <w:rsid w:val="008354D2"/>
    <w:rsid w:val="00A21CAE"/>
    <w:rsid w:val="00B57903"/>
    <w:rsid w:val="00DE78B7"/>
    <w:rsid w:val="00E41CA9"/>
    <w:rsid w:val="00E94E80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0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0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8</cp:revision>
  <dcterms:created xsi:type="dcterms:W3CDTF">2021-10-21T03:53:00Z</dcterms:created>
  <dcterms:modified xsi:type="dcterms:W3CDTF">2021-10-21T08:49:00Z</dcterms:modified>
</cp:coreProperties>
</file>